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17556E88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C160B8">
        <w:rPr>
          <w:rFonts w:ascii="Arial" w:eastAsia="SimSun" w:hAnsi="Arial"/>
          <w:b/>
          <w:sz w:val="24"/>
        </w:rPr>
        <w:t>10</w:t>
      </w:r>
      <w:r w:rsidR="006A499A">
        <w:rPr>
          <w:rFonts w:ascii="Arial" w:eastAsia="SimSun" w:hAnsi="Arial"/>
          <w:b/>
          <w:sz w:val="24"/>
        </w:rPr>
        <w:t>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E144B" w:rsidRPr="007E144B">
        <w:rPr>
          <w:rFonts w:ascii="Arial" w:eastAsia="SimSun" w:hAnsi="Arial"/>
          <w:b/>
          <w:bCs/>
          <w:sz w:val="24"/>
        </w:rPr>
        <w:t>R4-2117474</w:t>
      </w:r>
    </w:p>
    <w:p w14:paraId="057C7B1E" w14:textId="6C7E09D5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6A499A">
        <w:rPr>
          <w:rFonts w:ascii="Arial" w:eastAsia="SimSun" w:hAnsi="Arial"/>
          <w:b/>
          <w:sz w:val="24"/>
        </w:rPr>
        <w:t>1</w:t>
      </w:r>
      <w:r w:rsidR="006A499A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</w:t>
      </w:r>
      <w:r w:rsidR="006A499A">
        <w:rPr>
          <w:rFonts w:ascii="Arial" w:eastAsia="SimSun" w:hAnsi="Arial"/>
          <w:b/>
          <w:sz w:val="24"/>
        </w:rPr>
        <w:t>12</w:t>
      </w:r>
      <w:r w:rsidR="006A499A" w:rsidRPr="006A499A">
        <w:rPr>
          <w:rFonts w:ascii="Arial" w:eastAsia="SimSun" w:hAnsi="Arial"/>
          <w:b/>
          <w:sz w:val="24"/>
          <w:vertAlign w:val="superscript"/>
        </w:rPr>
        <w:t>th</w:t>
      </w:r>
      <w:r w:rsidR="006A499A">
        <w:rPr>
          <w:rFonts w:ascii="Arial" w:eastAsia="SimSun" w:hAnsi="Arial"/>
          <w:b/>
          <w:sz w:val="24"/>
        </w:rPr>
        <w:t xml:space="preserve"> </w:t>
      </w:r>
      <w:proofErr w:type="gramStart"/>
      <w:r w:rsidR="006A499A">
        <w:rPr>
          <w:rFonts w:ascii="Arial" w:eastAsia="SimSun" w:hAnsi="Arial"/>
          <w:b/>
          <w:sz w:val="24"/>
        </w:rPr>
        <w:t>November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9DC443A" w:rsidR="00F6297A" w:rsidRDefault="00F6297A" w:rsidP="6D7536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0F6C51D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683DDE" w:rsidRPr="00683DDE">
        <w:t xml:space="preserve"> </w:t>
      </w:r>
      <w:r w:rsidR="00683DDE" w:rsidRPr="00683DDE">
        <w:rPr>
          <w:rFonts w:ascii="Arial" w:hAnsi="Arial" w:cs="Arial"/>
          <w:b/>
          <w:bCs/>
          <w:sz w:val="22"/>
          <w:szCs w:val="22"/>
        </w:rPr>
        <w:t>Identify potential changes for RAN4 requirements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207983F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A499A">
        <w:rPr>
          <w:rFonts w:ascii="Arial" w:hAnsi="Arial" w:cs="Arial"/>
          <w:b/>
          <w:sz w:val="22"/>
          <w:szCs w:val="22"/>
        </w:rPr>
        <w:t>9.4.</w:t>
      </w:r>
      <w:r w:rsidR="00240845">
        <w:rPr>
          <w:rFonts w:ascii="Arial" w:hAnsi="Arial" w:cs="Arial"/>
          <w:b/>
          <w:sz w:val="22"/>
          <w:szCs w:val="22"/>
        </w:rPr>
        <w:t>6</w:t>
      </w:r>
    </w:p>
    <w:p w14:paraId="0C883BB6" w14:textId="223231E0" w:rsidR="00D27D6D" w:rsidRPr="00335D84" w:rsidRDefault="00D27D6D" w:rsidP="03DF23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3DF23E6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265C6244" w:rsidRPr="03DF23E6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4F322A4E" w14:textId="51A28C99" w:rsidR="00290FCD" w:rsidRPr="00290FCD" w:rsidRDefault="00290FCD" w:rsidP="00240845">
      <w:pPr>
        <w:spacing w:after="0"/>
        <w:rPr>
          <w:rFonts w:asciiTheme="majorBidi" w:hAnsiTheme="majorBidi" w:cstheme="majorBidi"/>
        </w:rPr>
      </w:pPr>
      <w:r w:rsidRPr="6D75360A">
        <w:rPr>
          <w:lang w:val="en-US" w:eastAsia="fi-FI"/>
        </w:rPr>
        <w:t>This contribution relates to a study item agreed in RAN#91-e, namely “</w:t>
      </w:r>
      <w:r>
        <w:t xml:space="preserve">optimizations of pi/2 BPSK uplink power in NR” [1]. </w:t>
      </w:r>
      <w:r w:rsidR="00760D8D">
        <w:t xml:space="preserve">In this paper we </w:t>
      </w:r>
      <w:r w:rsidR="00240845">
        <w:t>discuss the need for changing the RAN4 requirements based on the SI findings</w:t>
      </w:r>
      <w:r w:rsidR="00760D8D">
        <w:t>.</w:t>
      </w:r>
      <w:r w:rsidR="0E44EEED">
        <w:t xml:space="preserve"> </w:t>
      </w:r>
    </w:p>
    <w:p w14:paraId="4E1D3A34" w14:textId="3C74241A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47A5C05D" w14:textId="43A38592" w:rsidR="00C5303A" w:rsidRDefault="00240845" w:rsidP="00C5303A">
      <w:pPr>
        <w:pStyle w:val="Heading4"/>
      </w:pPr>
      <w:r>
        <w:t>2.1 Spectrum flatness requirements</w:t>
      </w:r>
    </w:p>
    <w:p w14:paraId="11381A15" w14:textId="7AB018D1" w:rsidR="00C5303A" w:rsidRDefault="00D469CC" w:rsidP="0040138E">
      <w:r>
        <w:t xml:space="preserve">One of the key objectives for the SI </w:t>
      </w:r>
      <w:r w:rsidR="002E7521">
        <w:t>was</w:t>
      </w:r>
      <w:r w:rsidR="006B170D">
        <w:t xml:space="preserve"> to i</w:t>
      </w:r>
      <w:r w:rsidR="006B170D" w:rsidRPr="006B170D">
        <w:t>dentify shaping filter characteristics to enable the new power capability while ensuring good and robust BS receiver performance</w:t>
      </w:r>
      <w:r w:rsidR="006B170D">
        <w:t xml:space="preserve">. </w:t>
      </w:r>
      <w:r w:rsidR="00C5303A">
        <w:t xml:space="preserve">We </w:t>
      </w:r>
      <w:r w:rsidR="00C5303A" w:rsidRPr="00C5303A">
        <w:t>characterize the net gain of different shaping filters considering transmitter and link level performance</w:t>
      </w:r>
      <w:r w:rsidR="00C5303A">
        <w:t xml:space="preserve"> in [</w:t>
      </w:r>
      <w:r w:rsidR="000A7BB2">
        <w:t>3</w:t>
      </w:r>
      <w:r w:rsidR="00C5303A">
        <w:t>]</w:t>
      </w:r>
      <w:r w:rsidR="00C5303A" w:rsidRPr="00C5303A">
        <w:t>.</w:t>
      </w:r>
      <w:r w:rsidR="00C5303A">
        <w:t xml:space="preserve"> </w:t>
      </w:r>
      <w:r w:rsidR="00BE42A8">
        <w:t>Based on the results we draw the following conclusions:</w:t>
      </w:r>
    </w:p>
    <w:p w14:paraId="485B7601" w14:textId="3661556A" w:rsidR="00BA579A" w:rsidRDefault="00C5303A" w:rsidP="00BE42A8">
      <w:pPr>
        <w:pStyle w:val="ListParagraph"/>
        <w:numPr>
          <w:ilvl w:val="0"/>
          <w:numId w:val="18"/>
        </w:numPr>
      </w:pPr>
      <w:r>
        <w:t xml:space="preserve">The most aggressive filters have up to 0.6-0.8 dB loss with respect to the less aggressive filters in the small allocations (2, 4, 8 PRB in the evaluation). </w:t>
      </w:r>
    </w:p>
    <w:p w14:paraId="5D640359" w14:textId="3073197D" w:rsidR="00BA579A" w:rsidRDefault="00BA579A" w:rsidP="00BE42A8">
      <w:pPr>
        <w:pStyle w:val="ListParagraph"/>
        <w:numPr>
          <w:ilvl w:val="0"/>
          <w:numId w:val="18"/>
        </w:numPr>
      </w:pPr>
      <w:r>
        <w:t>For allocation sizes ≤ 16 PRB, less aggressive filters perform better than aggressive filters</w:t>
      </w:r>
      <w:r w:rsidR="00053416">
        <w:t xml:space="preserve"> in terms of achievable output power and link performance</w:t>
      </w:r>
      <w:r>
        <w:t xml:space="preserve">. </w:t>
      </w:r>
    </w:p>
    <w:p w14:paraId="2F775AC8" w14:textId="77777777" w:rsidR="006347D2" w:rsidRPr="006347D2" w:rsidRDefault="006347D2" w:rsidP="006347D2">
      <w:pPr>
        <w:pStyle w:val="ListParagraph"/>
        <w:numPr>
          <w:ilvl w:val="0"/>
          <w:numId w:val="18"/>
        </w:numPr>
      </w:pPr>
      <w:r w:rsidRPr="006347D2">
        <w:rPr>
          <w:lang w:val="en-US"/>
        </w:rPr>
        <w:t>There is not a single solution for all the evaluated cases. Depending on the allocation configuration, different filters (i.e., </w:t>
      </w:r>
      <w:proofErr w:type="gramStart"/>
      <w:r w:rsidRPr="006347D2">
        <w:rPr>
          <w:lang w:val="en-US"/>
        </w:rPr>
        <w:t>more or less aggressive</w:t>
      </w:r>
      <w:proofErr w:type="gramEnd"/>
      <w:r w:rsidRPr="006347D2">
        <w:rPr>
          <w:lang w:val="en-US"/>
        </w:rPr>
        <w:t>) perform differently.</w:t>
      </w:r>
    </w:p>
    <w:p w14:paraId="35104491" w14:textId="77777777" w:rsidR="006347D2" w:rsidRDefault="006347D2" w:rsidP="006347D2">
      <w:pPr>
        <w:pStyle w:val="ListParagraph"/>
      </w:pPr>
    </w:p>
    <w:p w14:paraId="177FF384" w14:textId="1EF95C49" w:rsidR="00C5303A" w:rsidRDefault="00C5303A" w:rsidP="00BE42A8">
      <w:pPr>
        <w:rPr>
          <w:b/>
          <w:bCs/>
          <w:iCs/>
        </w:rPr>
      </w:pPr>
      <w:r>
        <w:t>Based on the results</w:t>
      </w:r>
      <w:r w:rsidR="002C7ECC">
        <w:t xml:space="preserve">, and </w:t>
      </w:r>
      <w:proofErr w:type="gramStart"/>
      <w:r w:rsidR="002C7ECC">
        <w:t>in order to</w:t>
      </w:r>
      <w:proofErr w:type="gramEnd"/>
      <w:r w:rsidR="002C7ECC">
        <w:t xml:space="preserve"> maximize the net gain</w:t>
      </w:r>
      <w:r>
        <w:t xml:space="preserve"> we think that it makes sense to update the spectrum flatness requirements in </w:t>
      </w:r>
      <w:r w:rsidRPr="002C7ECC">
        <w:rPr>
          <w:iCs/>
        </w:rPr>
        <w:t>TS 38.101-1</w:t>
      </w:r>
      <w:r w:rsidR="002C7ECC">
        <w:rPr>
          <w:iCs/>
        </w:rPr>
        <w:t xml:space="preserve"> according to the following proposal</w:t>
      </w:r>
      <w:r w:rsidR="003A7645">
        <w:rPr>
          <w:iCs/>
        </w:rPr>
        <w:t>s</w:t>
      </w:r>
      <w:r w:rsidR="002C7ECC">
        <w:rPr>
          <w:iCs/>
        </w:rPr>
        <w:t>:</w:t>
      </w:r>
    </w:p>
    <w:p w14:paraId="069774A9" w14:textId="74A4A34B" w:rsidR="00A8178E" w:rsidRPr="00A8178E" w:rsidRDefault="00A8178E" w:rsidP="00A8178E">
      <w:pPr>
        <w:spacing w:after="0"/>
      </w:pPr>
      <w:r w:rsidRPr="00A8178E">
        <w:rPr>
          <w:b/>
          <w:bCs/>
          <w:i/>
          <w:iCs/>
        </w:rPr>
        <w:t>Proposal 1: </w:t>
      </w:r>
      <w:r w:rsidRPr="00A8178E">
        <w:rPr>
          <w:i/>
          <w:iCs/>
        </w:rPr>
        <w:t>Keep the Rel-15 approach (</w:t>
      </w:r>
      <w:proofErr w:type="gramStart"/>
      <w:r w:rsidRPr="00A8178E">
        <w:rPr>
          <w:i/>
          <w:iCs/>
        </w:rPr>
        <w:t>i.e.</w:t>
      </w:r>
      <w:proofErr w:type="gramEnd"/>
      <w:r w:rsidRPr="00A8178E">
        <w:rPr>
          <w:i/>
          <w:iCs/>
        </w:rPr>
        <w:t> transparent spectral shaping to </w:t>
      </w:r>
      <w:proofErr w:type="spellStart"/>
      <w:r w:rsidRPr="00A8178E">
        <w:rPr>
          <w:i/>
          <w:iCs/>
        </w:rPr>
        <w:t>gNB</w:t>
      </w:r>
      <w:proofErr w:type="spellEnd"/>
      <w:r w:rsidRPr="00A8178E">
        <w:rPr>
          <w:i/>
          <w:iCs/>
        </w:rPr>
        <w:t> receiver) in Rel-17 where both DMRS and data are shaped and the actual pulse shaping filter is left for UE implementation</w:t>
      </w:r>
      <w:r w:rsidR="003A7645">
        <w:rPr>
          <w:i/>
          <w:iCs/>
        </w:rPr>
        <w:t>.</w:t>
      </w:r>
    </w:p>
    <w:p w14:paraId="45A5A2DC" w14:textId="77777777" w:rsidR="00A8178E" w:rsidRDefault="00A8178E" w:rsidP="002C7ECC">
      <w:pPr>
        <w:spacing w:after="0"/>
        <w:rPr>
          <w:b/>
          <w:bCs/>
        </w:rPr>
      </w:pPr>
    </w:p>
    <w:p w14:paraId="5D012362" w14:textId="5835E571" w:rsidR="00C5303A" w:rsidRDefault="00C5303A" w:rsidP="002C7ECC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 w:rsidR="006347D2">
        <w:rPr>
          <w:b/>
          <w:bCs/>
        </w:rPr>
        <w:t>2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 w:rsidR="007B0F89">
        <w:rPr>
          <w:i/>
          <w:iCs/>
        </w:rPr>
        <w:t>U</w:t>
      </w:r>
      <w:r>
        <w:rPr>
          <w:i/>
          <w:iCs/>
        </w:rPr>
        <w:t>pdate</w:t>
      </w:r>
      <w:r w:rsidRPr="00C5303A">
        <w:rPr>
          <w:i/>
          <w:iCs/>
        </w:rPr>
        <w:t xml:space="preserve"> spectral flatness requirements in section 6.4.2.4.1, TS 38.101-1</w:t>
      </w:r>
      <w:r>
        <w:rPr>
          <w:i/>
          <w:iCs/>
        </w:rPr>
        <w:t xml:space="preserve"> in the following way:</w:t>
      </w:r>
    </w:p>
    <w:p w14:paraId="5E1843D9" w14:textId="07F82834" w:rsidR="002C7ECC" w:rsidRPr="002C7ECC" w:rsidRDefault="0056099D" w:rsidP="002C7E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D</w:t>
      </w:r>
      <w:r w:rsidR="00C5303A" w:rsidRPr="002C7ECC">
        <w:rPr>
          <w:i/>
          <w:iCs/>
        </w:rPr>
        <w:t>efine tighter spectral flatness requirements for small allocations</w:t>
      </w:r>
      <w:r w:rsidR="002C7ECC">
        <w:rPr>
          <w:i/>
          <w:iCs/>
        </w:rPr>
        <w:t xml:space="preserve"> (</w:t>
      </w:r>
      <w:proofErr w:type="gramStart"/>
      <w:r w:rsidR="002C7ECC">
        <w:rPr>
          <w:i/>
          <w:iCs/>
        </w:rPr>
        <w:t>e.g.</w:t>
      </w:r>
      <w:proofErr w:type="gramEnd"/>
      <w:r w:rsidR="002C7ECC">
        <w:rPr>
          <w:i/>
          <w:iCs/>
        </w:rPr>
        <w:t xml:space="preserve"> &lt;16 PRBs)</w:t>
      </w:r>
      <w:r w:rsidR="00C5303A" w:rsidRPr="002C7ECC">
        <w:rPr>
          <w:i/>
          <w:iCs/>
        </w:rPr>
        <w:t xml:space="preserve"> in the </w:t>
      </w:r>
      <w:proofErr w:type="spellStart"/>
      <w:r w:rsidR="00C5303A" w:rsidRPr="002C7ECC">
        <w:rPr>
          <w:i/>
          <w:iCs/>
        </w:rPr>
        <w:t>center</w:t>
      </w:r>
      <w:proofErr w:type="spellEnd"/>
      <w:r w:rsidR="00C5303A" w:rsidRPr="002C7ECC">
        <w:rPr>
          <w:i/>
          <w:iCs/>
        </w:rPr>
        <w:t xml:space="preserve"> of the channel band</w:t>
      </w:r>
    </w:p>
    <w:p w14:paraId="73AEAEC1" w14:textId="3F59B3F9" w:rsidR="002C7ECC" w:rsidRPr="002C7ECC" w:rsidRDefault="0056099D" w:rsidP="6BC215DF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 w:rsidRPr="6BC215DF">
        <w:rPr>
          <w:i/>
          <w:iCs/>
        </w:rPr>
        <w:t>K</w:t>
      </w:r>
      <w:r w:rsidR="002C7ECC" w:rsidRPr="6BC215DF">
        <w:rPr>
          <w:i/>
          <w:iCs/>
        </w:rPr>
        <w:t xml:space="preserve">eep the spectral flatness requirements </w:t>
      </w:r>
      <w:r w:rsidR="51367B92" w:rsidRPr="6BC215DF">
        <w:rPr>
          <w:i/>
          <w:iCs/>
        </w:rPr>
        <w:t xml:space="preserve">for </w:t>
      </w:r>
      <w:r w:rsidR="002C7ECC" w:rsidRPr="6BC215DF">
        <w:rPr>
          <w:i/>
          <w:iCs/>
        </w:rPr>
        <w:t>large allocations (</w:t>
      </w:r>
      <w:proofErr w:type="gramStart"/>
      <w:r w:rsidR="002C7ECC" w:rsidRPr="6BC215DF">
        <w:rPr>
          <w:i/>
          <w:iCs/>
        </w:rPr>
        <w:t>e.g.</w:t>
      </w:r>
      <w:proofErr w:type="gramEnd"/>
      <w:r w:rsidR="002C7ECC" w:rsidRPr="6BC215DF">
        <w:rPr>
          <w:i/>
          <w:iCs/>
        </w:rPr>
        <w:t xml:space="preserve"> ≥16 PRBs</w:t>
      </w:r>
      <w:r w:rsidR="002C7ECC">
        <w:t>)</w:t>
      </w:r>
      <w:r w:rsidR="00DD41CC">
        <w:t>.</w:t>
      </w:r>
      <w:r w:rsidR="002C7ECC">
        <w:t xml:space="preserve">  </w:t>
      </w:r>
    </w:p>
    <w:p w14:paraId="23F19F7A" w14:textId="019E8A7A" w:rsidR="002C7ECC" w:rsidRPr="002C7ECC" w:rsidRDefault="002C7ECC" w:rsidP="002C7ECC">
      <w:pPr>
        <w:pStyle w:val="ListParagraph"/>
        <w:spacing w:after="0"/>
        <w:rPr>
          <w:i/>
          <w:iCs/>
        </w:rPr>
      </w:pPr>
    </w:p>
    <w:p w14:paraId="3F010A2E" w14:textId="7D9BC290" w:rsidR="00240845" w:rsidRDefault="00240845" w:rsidP="00240845">
      <w:pPr>
        <w:pStyle w:val="Heading4"/>
      </w:pPr>
      <w:r>
        <w:t>2.2 MPR requirements</w:t>
      </w:r>
    </w:p>
    <w:p w14:paraId="76A1902A" w14:textId="4A7AFAF2" w:rsidR="009A404F" w:rsidRDefault="002C7ECC" w:rsidP="002C7ECC">
      <w:pPr>
        <w:rPr>
          <w:iCs/>
        </w:rPr>
      </w:pPr>
      <w:r>
        <w:rPr>
          <w:iCs/>
        </w:rPr>
        <w:t xml:space="preserve">Based on the agreement in RAN4 #100, </w:t>
      </w:r>
      <w:r w:rsidRPr="002C7ECC">
        <w:rPr>
          <w:iCs/>
        </w:rPr>
        <w:t>UE handheld with PC2 is addressed as a baseline for the power enhancement</w:t>
      </w:r>
      <w:r>
        <w:rPr>
          <w:iCs/>
        </w:rPr>
        <w:t xml:space="preserve"> [</w:t>
      </w:r>
      <w:r w:rsidR="000A7BB2">
        <w:rPr>
          <w:iCs/>
        </w:rPr>
        <w:t>4</w:t>
      </w:r>
      <w:r>
        <w:rPr>
          <w:iCs/>
        </w:rPr>
        <w:t>]. When using updated spectral flatness requirements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according to Proposal </w:t>
      </w:r>
      <w:r w:rsidR="0056099D">
        <w:rPr>
          <w:iCs/>
        </w:rPr>
        <w:t>2</w:t>
      </w:r>
      <w:r>
        <w:rPr>
          <w:iCs/>
        </w:rPr>
        <w:t>) it is possible to increase the maximum output power for PC2 UE</w:t>
      </w:r>
      <w:r w:rsidR="00D6742E">
        <w:rPr>
          <w:iCs/>
        </w:rPr>
        <w:t xml:space="preserve">. </w:t>
      </w:r>
      <w:r w:rsidR="001943F8">
        <w:rPr>
          <w:iCs/>
        </w:rPr>
        <w:t xml:space="preserve">This is shown </w:t>
      </w:r>
      <w:proofErr w:type="gramStart"/>
      <w:r w:rsidR="001943F8">
        <w:rPr>
          <w:iCs/>
        </w:rPr>
        <w:t>e.g.</w:t>
      </w:r>
      <w:proofErr w:type="gramEnd"/>
      <w:r w:rsidR="001943F8">
        <w:rPr>
          <w:iCs/>
        </w:rPr>
        <w:t xml:space="preserve"> in [</w:t>
      </w:r>
      <w:r w:rsidR="000A7BB2">
        <w:rPr>
          <w:iCs/>
        </w:rPr>
        <w:t>2</w:t>
      </w:r>
      <w:r w:rsidR="001943F8">
        <w:rPr>
          <w:iCs/>
        </w:rPr>
        <w:t>]</w:t>
      </w:r>
      <w:r w:rsidR="000C372A">
        <w:rPr>
          <w:iCs/>
        </w:rPr>
        <w:t>, which</w:t>
      </w:r>
      <w:r w:rsidR="00C53AF4">
        <w:rPr>
          <w:iCs/>
        </w:rPr>
        <w:t xml:space="preserve"> </w:t>
      </w:r>
      <w:r w:rsidR="000C372A">
        <w:rPr>
          <w:iCs/>
        </w:rPr>
        <w:t>compares</w:t>
      </w:r>
      <w:r w:rsidR="00C53AF4">
        <w:rPr>
          <w:iCs/>
        </w:rPr>
        <w:t xml:space="preserve"> the output power achievable by different filters in </w:t>
      </w:r>
      <w:r w:rsidR="000C372A">
        <w:rPr>
          <w:iCs/>
        </w:rPr>
        <w:t>the agreed evaluation scenarios</w:t>
      </w:r>
      <w:r w:rsidR="00D6742E">
        <w:rPr>
          <w:iCs/>
        </w:rPr>
        <w:t>.</w:t>
      </w:r>
    </w:p>
    <w:p w14:paraId="2A609B0E" w14:textId="6AF9E795" w:rsidR="002C7ECC" w:rsidRPr="002C7ECC" w:rsidRDefault="009A404F" w:rsidP="002C7ECC">
      <w:pPr>
        <w:rPr>
          <w:iCs/>
        </w:rPr>
      </w:pP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ensure that power enhancement is available</w:t>
      </w:r>
      <w:r w:rsidR="004F33EE">
        <w:rPr>
          <w:iCs/>
        </w:rPr>
        <w:t xml:space="preserve"> for improved coverage</w:t>
      </w:r>
      <w:r>
        <w:rPr>
          <w:iCs/>
        </w:rPr>
        <w:t xml:space="preserve">, the MPR requirements need to be updated. This means that at least </w:t>
      </w:r>
      <w:r w:rsidRPr="009A404F">
        <w:rPr>
          <w:iCs/>
        </w:rPr>
        <w:t>Table 6.2.2-2</w:t>
      </w:r>
      <w:r>
        <w:rPr>
          <w:iCs/>
        </w:rPr>
        <w:t xml:space="preserve"> (</w:t>
      </w:r>
      <w:r w:rsidRPr="009A404F">
        <w:rPr>
          <w:iCs/>
        </w:rPr>
        <w:t>Maximum power reduction (MPR) for power class 2</w:t>
      </w:r>
      <w:r>
        <w:rPr>
          <w:iCs/>
        </w:rPr>
        <w:t>) needs to be updated.</w:t>
      </w:r>
    </w:p>
    <w:p w14:paraId="176FA77E" w14:textId="59F25652" w:rsidR="009A404F" w:rsidRDefault="009A404F" w:rsidP="009A404F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 w:rsidR="005C41F7">
        <w:rPr>
          <w:b/>
          <w:bCs/>
        </w:rPr>
        <w:t>3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 w:rsidR="00596F22">
        <w:rPr>
          <w:i/>
          <w:iCs/>
        </w:rPr>
        <w:t>U</w:t>
      </w:r>
      <w:r>
        <w:rPr>
          <w:i/>
          <w:iCs/>
        </w:rPr>
        <w:t>pdate</w:t>
      </w:r>
      <w:r w:rsidRPr="00C5303A">
        <w:rPr>
          <w:i/>
          <w:iCs/>
        </w:rPr>
        <w:t xml:space="preserve"> </w:t>
      </w:r>
      <w:r>
        <w:rPr>
          <w:i/>
          <w:iCs/>
        </w:rPr>
        <w:t>MPR tables (at least Table 6.2.2-2) in TS 38.101-1.</w:t>
      </w:r>
    </w:p>
    <w:p w14:paraId="0FC2CDBC" w14:textId="77777777" w:rsidR="00A72728" w:rsidRDefault="00A72728" w:rsidP="00A72728">
      <w:pPr>
        <w:spacing w:after="0"/>
      </w:pPr>
    </w:p>
    <w:p w14:paraId="239D018E" w14:textId="44EE9479" w:rsidR="00240845" w:rsidRDefault="00240845" w:rsidP="00240845">
      <w:pPr>
        <w:pStyle w:val="Heading4"/>
      </w:pPr>
      <w:r>
        <w:t>2.3 ACLR requirements</w:t>
      </w:r>
    </w:p>
    <w:p w14:paraId="3C75F176" w14:textId="124268F0" w:rsidR="00A72728" w:rsidRDefault="00E608C4" w:rsidP="00A72728">
      <w:r>
        <w:t xml:space="preserve">Based on the agreement in RAN4 #100, </w:t>
      </w:r>
      <w:r w:rsidR="75F23A74">
        <w:t>i</w:t>
      </w:r>
      <w:r w:rsidR="00C535B5">
        <w:t>f the UE output power reaches the next power class, the ACLR requirement is re-evaluated</w:t>
      </w:r>
      <w:r>
        <w:t xml:space="preserve"> [</w:t>
      </w:r>
      <w:r w:rsidR="000A7BB2">
        <w:t>4</w:t>
      </w:r>
      <w:r>
        <w:t>].</w:t>
      </w:r>
      <w:r w:rsidR="005748D5">
        <w:t xml:space="preserve"> </w:t>
      </w:r>
      <w:r w:rsidR="00BD6B77">
        <w:t>When considering PC2 (</w:t>
      </w:r>
      <w:proofErr w:type="gramStart"/>
      <w:r w:rsidR="00BD6B77">
        <w:t>i.e.</w:t>
      </w:r>
      <w:proofErr w:type="gramEnd"/>
      <w:r w:rsidR="00BD6B77">
        <w:t xml:space="preserve"> baseline for power enhancement [</w:t>
      </w:r>
      <w:r w:rsidR="000A7BB2">
        <w:t>4</w:t>
      </w:r>
      <w:r w:rsidR="00BD6B77">
        <w:t>])</w:t>
      </w:r>
      <w:r w:rsidR="00E6034A">
        <w:t xml:space="preserve">, the next power class corresponds to PC1.5 having the same ACLR requirement </w:t>
      </w:r>
      <w:r w:rsidR="00D34F75">
        <w:t xml:space="preserve">as PC2 (as shown in Table 6.5.2.4.1-2). Based on that we think that there is no need to update ACLR requirements </w:t>
      </w:r>
      <w:r w:rsidR="00E405C6">
        <w:t xml:space="preserve">at least </w:t>
      </w:r>
      <w:r w:rsidR="00D34F75">
        <w:t xml:space="preserve">for </w:t>
      </w:r>
      <w:r w:rsidR="00E12FA5">
        <w:t>PC2.</w:t>
      </w:r>
    </w:p>
    <w:p w14:paraId="6DC59E27" w14:textId="3D89C458" w:rsidR="0087043D" w:rsidRDefault="009F46DF" w:rsidP="00A72728">
      <w:pPr>
        <w:spacing w:after="0"/>
        <w:rPr>
          <w:i/>
          <w:iCs/>
        </w:rPr>
      </w:pPr>
      <w:r>
        <w:rPr>
          <w:b/>
          <w:bCs/>
        </w:rPr>
        <w:lastRenderedPageBreak/>
        <w:t>Observation 1</w:t>
      </w:r>
      <w:r w:rsidR="0087043D" w:rsidRPr="00C5303A">
        <w:rPr>
          <w:b/>
          <w:bCs/>
        </w:rPr>
        <w:t>:</w:t>
      </w:r>
      <w:r w:rsidR="0087043D">
        <w:t xml:space="preserve"> </w:t>
      </w:r>
      <w:r w:rsidR="0087043D" w:rsidRPr="00C5303A">
        <w:rPr>
          <w:b/>
          <w:bCs/>
        </w:rPr>
        <w:t xml:space="preserve"> </w:t>
      </w:r>
      <w:r>
        <w:rPr>
          <w:i/>
          <w:iCs/>
        </w:rPr>
        <w:t xml:space="preserve">There is no need to update ACLR requirements </w:t>
      </w:r>
      <w:r w:rsidR="00E405C6">
        <w:rPr>
          <w:i/>
          <w:iCs/>
        </w:rPr>
        <w:t xml:space="preserve">at least </w:t>
      </w:r>
      <w:r>
        <w:rPr>
          <w:i/>
          <w:iCs/>
        </w:rPr>
        <w:t>for PC2.</w:t>
      </w:r>
    </w:p>
    <w:p w14:paraId="1D60F594" w14:textId="14CD3A56" w:rsidR="002340E4" w:rsidRPr="005946CD" w:rsidRDefault="002340E4" w:rsidP="00516F11">
      <w:pPr>
        <w:rPr>
          <w:b/>
          <w:bCs/>
        </w:rPr>
      </w:pP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1E366CBE" w14:textId="4399C1A8" w:rsidR="00DB1E50" w:rsidRDefault="3D7F9A66" w:rsidP="1AF8A6FB">
      <w:r w:rsidRPr="002775A7">
        <w:t xml:space="preserve">In this contribution we have </w:t>
      </w:r>
      <w:r w:rsidR="00A72728">
        <w:t xml:space="preserve">discussed the need for changing the RAN4 requirements based on the SI findings, </w:t>
      </w:r>
      <w:proofErr w:type="gramStart"/>
      <w:r w:rsidR="00A72728">
        <w:t>Based</w:t>
      </w:r>
      <w:proofErr w:type="gramEnd"/>
      <w:r w:rsidR="00A72728">
        <w:t xml:space="preserve"> on the </w:t>
      </w:r>
      <w:r w:rsidR="00DD41CC">
        <w:t>discussion we make the following proposals and an observation:</w:t>
      </w:r>
    </w:p>
    <w:p w14:paraId="4A724935" w14:textId="77777777" w:rsidR="00DD41CC" w:rsidRPr="00A8178E" w:rsidRDefault="00DD41CC" w:rsidP="00DD41CC">
      <w:pPr>
        <w:spacing w:after="0"/>
      </w:pPr>
      <w:r w:rsidRPr="00A8178E">
        <w:rPr>
          <w:b/>
          <w:bCs/>
          <w:i/>
          <w:iCs/>
        </w:rPr>
        <w:t>Proposal 1: </w:t>
      </w:r>
      <w:r w:rsidRPr="00A8178E">
        <w:rPr>
          <w:i/>
          <w:iCs/>
        </w:rPr>
        <w:t>Keep the Rel-15 approach (</w:t>
      </w:r>
      <w:proofErr w:type="gramStart"/>
      <w:r w:rsidRPr="00A8178E">
        <w:rPr>
          <w:i/>
          <w:iCs/>
        </w:rPr>
        <w:t>i.e.</w:t>
      </w:r>
      <w:proofErr w:type="gramEnd"/>
      <w:r w:rsidRPr="00A8178E">
        <w:rPr>
          <w:i/>
          <w:iCs/>
        </w:rPr>
        <w:t> transparent spectral shaping to </w:t>
      </w:r>
      <w:proofErr w:type="spellStart"/>
      <w:r w:rsidRPr="00A8178E">
        <w:rPr>
          <w:i/>
          <w:iCs/>
        </w:rPr>
        <w:t>gNB</w:t>
      </w:r>
      <w:proofErr w:type="spellEnd"/>
      <w:r w:rsidRPr="00A8178E">
        <w:rPr>
          <w:i/>
          <w:iCs/>
        </w:rPr>
        <w:t> receiver) in Rel-17 where both DMRS and data are shaped and the actual pulse shaping filter is left for UE implementation</w:t>
      </w:r>
      <w:r>
        <w:rPr>
          <w:i/>
          <w:iCs/>
        </w:rPr>
        <w:t>.</w:t>
      </w:r>
    </w:p>
    <w:p w14:paraId="1D6F40CF" w14:textId="77777777" w:rsidR="00DD41CC" w:rsidRDefault="00DD41CC" w:rsidP="00DD41CC">
      <w:pPr>
        <w:spacing w:after="0"/>
        <w:rPr>
          <w:b/>
          <w:bCs/>
        </w:rPr>
      </w:pPr>
    </w:p>
    <w:p w14:paraId="501614C6" w14:textId="77777777" w:rsidR="00DD41CC" w:rsidRDefault="00DD41CC" w:rsidP="00DD41CC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>
        <w:rPr>
          <w:b/>
          <w:bCs/>
        </w:rPr>
        <w:t>2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rPr>
          <w:i/>
          <w:iCs/>
        </w:rPr>
        <w:t>Update</w:t>
      </w:r>
      <w:r w:rsidRPr="00C5303A">
        <w:rPr>
          <w:i/>
          <w:iCs/>
        </w:rPr>
        <w:t xml:space="preserve"> spectral flatness requirements in section 6.4.2.4.1, TS 38.101-1</w:t>
      </w:r>
      <w:r>
        <w:rPr>
          <w:i/>
          <w:iCs/>
        </w:rPr>
        <w:t xml:space="preserve"> in the following way:</w:t>
      </w:r>
    </w:p>
    <w:p w14:paraId="7A27C605" w14:textId="77777777" w:rsidR="00DD41CC" w:rsidRPr="002C7ECC" w:rsidRDefault="00DD41CC" w:rsidP="00DD41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D</w:t>
      </w:r>
      <w:r w:rsidRPr="002C7ECC">
        <w:rPr>
          <w:i/>
          <w:iCs/>
        </w:rPr>
        <w:t>efine tighter spectral flatness requirements for small allocations</w:t>
      </w:r>
      <w:r>
        <w:rPr>
          <w:i/>
          <w:iCs/>
        </w:rPr>
        <w:t xml:space="preserve">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&lt;16 PRBs)</w:t>
      </w:r>
      <w:r w:rsidRPr="002C7ECC">
        <w:rPr>
          <w:i/>
          <w:iCs/>
        </w:rPr>
        <w:t xml:space="preserve"> in the </w:t>
      </w:r>
      <w:proofErr w:type="spellStart"/>
      <w:r w:rsidRPr="002C7ECC">
        <w:rPr>
          <w:i/>
          <w:iCs/>
        </w:rPr>
        <w:t>center</w:t>
      </w:r>
      <w:proofErr w:type="spellEnd"/>
      <w:r w:rsidRPr="002C7ECC">
        <w:rPr>
          <w:i/>
          <w:iCs/>
        </w:rPr>
        <w:t xml:space="preserve"> of the channel band</w:t>
      </w:r>
    </w:p>
    <w:p w14:paraId="62E4A2B4" w14:textId="77777777" w:rsidR="00DD41CC" w:rsidRPr="002C7ECC" w:rsidRDefault="00DD41CC" w:rsidP="00DD41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K</w:t>
      </w:r>
      <w:r w:rsidRPr="002C7ECC">
        <w:rPr>
          <w:i/>
          <w:iCs/>
        </w:rPr>
        <w:t xml:space="preserve">eep the spectral flatness requirements </w:t>
      </w:r>
      <w:r>
        <w:rPr>
          <w:i/>
          <w:iCs/>
        </w:rPr>
        <w:t>large allocations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</w:t>
      </w:r>
      <w:r w:rsidRPr="002C7ECC">
        <w:rPr>
          <w:i/>
          <w:iCs/>
          <w:szCs w:val="18"/>
        </w:rPr>
        <w:t>≥</w:t>
      </w:r>
      <w:r>
        <w:rPr>
          <w:i/>
          <w:iCs/>
          <w:szCs w:val="18"/>
        </w:rPr>
        <w:t>16</w:t>
      </w:r>
      <w:r w:rsidRPr="002C7ECC">
        <w:rPr>
          <w:i/>
          <w:iCs/>
          <w:szCs w:val="18"/>
        </w:rPr>
        <w:t xml:space="preserve"> PRBs</w:t>
      </w:r>
      <w:r>
        <w:rPr>
          <w:szCs w:val="18"/>
        </w:rPr>
        <w:t xml:space="preserve">).  </w:t>
      </w:r>
    </w:p>
    <w:p w14:paraId="198C5842" w14:textId="77777777" w:rsidR="00DD41CC" w:rsidRDefault="00DD41CC" w:rsidP="00DD41CC">
      <w:pPr>
        <w:spacing w:after="0"/>
        <w:rPr>
          <w:b/>
          <w:bCs/>
        </w:rPr>
      </w:pPr>
    </w:p>
    <w:p w14:paraId="330D6A50" w14:textId="2A1F9B0F" w:rsidR="00DD41CC" w:rsidRPr="00DD41CC" w:rsidRDefault="00DD41CC" w:rsidP="00DD41CC">
      <w:pPr>
        <w:spacing w:after="0"/>
        <w:rPr>
          <w:i/>
          <w:iCs/>
        </w:rPr>
      </w:pPr>
      <w:r w:rsidRPr="00DD41CC">
        <w:rPr>
          <w:b/>
          <w:bCs/>
        </w:rPr>
        <w:t>Proposal 3:</w:t>
      </w:r>
      <w:r>
        <w:t xml:space="preserve"> </w:t>
      </w:r>
      <w:r w:rsidRPr="00DD41CC">
        <w:rPr>
          <w:b/>
          <w:bCs/>
        </w:rPr>
        <w:t xml:space="preserve"> </w:t>
      </w:r>
      <w:r w:rsidRPr="00DD41CC">
        <w:rPr>
          <w:i/>
          <w:iCs/>
        </w:rPr>
        <w:t>Update MPR tables (at least Table 6.2.2-2) in TS 38.101-1.</w:t>
      </w:r>
    </w:p>
    <w:p w14:paraId="5121481D" w14:textId="206A8C60" w:rsidR="00DD41CC" w:rsidRDefault="00DD41CC" w:rsidP="1AF8A6FB"/>
    <w:p w14:paraId="17FF08B8" w14:textId="77777777" w:rsidR="00E405C6" w:rsidRDefault="00E405C6" w:rsidP="00E405C6">
      <w:pPr>
        <w:spacing w:after="0"/>
        <w:rPr>
          <w:i/>
          <w:iCs/>
        </w:rPr>
      </w:pPr>
      <w:r>
        <w:rPr>
          <w:b/>
          <w:bCs/>
        </w:rPr>
        <w:t>Observation 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rPr>
          <w:i/>
          <w:iCs/>
        </w:rPr>
        <w:t>There is no need to update ACLR requirements at least for PC2.</w:t>
      </w:r>
    </w:p>
    <w:p w14:paraId="5168B23B" w14:textId="77777777" w:rsidR="00DD41CC" w:rsidRDefault="00DD41CC" w:rsidP="00DD41CC">
      <w:pPr>
        <w:spacing w:after="0"/>
        <w:rPr>
          <w:i/>
          <w:iCs/>
        </w:rPr>
      </w:pP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0E235C66" w:rsidR="00290FCD" w:rsidRDefault="00290FC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6" w:name="_Ref67429389"/>
      <w:r>
        <w:rPr>
          <w:lang w:val="en-US"/>
        </w:rPr>
        <w:t>RP-210910</w:t>
      </w:r>
      <w:r w:rsidR="00C13A92">
        <w:rPr>
          <w:lang w:val="en-US"/>
        </w:rPr>
        <w:t xml:space="preserve">, </w:t>
      </w:r>
      <w:r w:rsidR="00A72728">
        <w:rPr>
          <w:lang w:val="en-US"/>
        </w:rPr>
        <w:t>“</w:t>
      </w:r>
      <w:r w:rsidRPr="00A72728">
        <w:rPr>
          <w:i/>
          <w:iCs/>
          <w:lang w:val="en-US"/>
        </w:rPr>
        <w:t>Optimizations of pi/2 BPSK uplink power in NR</w:t>
      </w:r>
      <w:bookmarkEnd w:id="6"/>
      <w:r w:rsidR="00A72728">
        <w:rPr>
          <w:i/>
          <w:iCs/>
          <w:lang w:val="en-US"/>
        </w:rPr>
        <w:t>”</w:t>
      </w:r>
      <w:r>
        <w:rPr>
          <w:lang w:val="en-US"/>
        </w:rPr>
        <w:t>, Moderator (Huawei)</w:t>
      </w:r>
    </w:p>
    <w:p w14:paraId="5308A9F1" w14:textId="58DC8F35" w:rsidR="00240845" w:rsidRPr="00770212" w:rsidRDefault="001472BD" w:rsidP="0024084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1472BD">
        <w:rPr>
          <w:lang w:val="en-US"/>
        </w:rPr>
        <w:t>R4-2117473</w:t>
      </w:r>
      <w:r w:rsidR="00240845" w:rsidRPr="003A2453">
        <w:rPr>
          <w:lang w:val="en-US"/>
        </w:rPr>
        <w:t xml:space="preserve">,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Transmitter performance for pi/2 BPSK with spectral shaping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5A5368A2" w14:textId="557679C2" w:rsidR="00240845" w:rsidRPr="00C5303A" w:rsidRDefault="00B32137" w:rsidP="00C5303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B32137">
        <w:rPr>
          <w:lang w:val="en-US"/>
        </w:rPr>
        <w:t>R4-2117472</w:t>
      </w:r>
      <w:r w:rsidR="00240845" w:rsidRPr="003A2453">
        <w:rPr>
          <w:lang w:val="en-US"/>
        </w:rPr>
        <w:t xml:space="preserve">,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Shaping filter characteristics including transmitter and link performance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73BCFC0D" w14:textId="064332AE" w:rsidR="006E5D7D" w:rsidRDefault="006E5D7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R4-21</w:t>
      </w:r>
      <w:r w:rsidR="00DD41CC">
        <w:rPr>
          <w:lang w:val="en-US"/>
        </w:rPr>
        <w:t>15064</w:t>
      </w:r>
      <w:r>
        <w:rPr>
          <w:lang w:val="en-US"/>
        </w:rPr>
        <w:t xml:space="preserve">, </w:t>
      </w:r>
      <w:r w:rsidR="00A72728">
        <w:rPr>
          <w:lang w:val="en-US"/>
        </w:rPr>
        <w:t>“</w:t>
      </w:r>
      <w:r w:rsidR="00DD41CC" w:rsidRPr="00DD41CC">
        <w:rPr>
          <w:i/>
          <w:iCs/>
          <w:lang w:val="en-US"/>
        </w:rPr>
        <w:t>WF on ‘Optimizations of pi/2 BPSK uplink power in NR’ in Rel-17</w:t>
      </w:r>
      <w:r w:rsidR="00DD41CC">
        <w:rPr>
          <w:lang w:val="en-US"/>
        </w:rPr>
        <w:t>”</w:t>
      </w:r>
      <w:r>
        <w:rPr>
          <w:lang w:val="en-US"/>
        </w:rPr>
        <w:t xml:space="preserve">, </w:t>
      </w:r>
      <w:r w:rsidR="00DD41CC">
        <w:rPr>
          <w:lang w:val="en-US"/>
        </w:rPr>
        <w:t>Nokia</w:t>
      </w:r>
    </w:p>
    <w:bookmarkEnd w:id="4"/>
    <w:bookmarkEnd w:id="5"/>
    <w:p w14:paraId="52A7E376" w14:textId="05686AE7" w:rsidR="000138FB" w:rsidRDefault="000138FB" w:rsidP="000138FB">
      <w:pPr>
        <w:rPr>
          <w:rFonts w:ascii="Arial" w:hAnsi="Arial" w:cs="Arial"/>
          <w:b/>
          <w:sz w:val="24"/>
        </w:rPr>
      </w:pPr>
    </w:p>
    <w:p w14:paraId="197E17DB" w14:textId="77777777" w:rsidR="000138FB" w:rsidRPr="00240845" w:rsidRDefault="000138FB" w:rsidP="00290FCD"/>
    <w:sectPr w:rsidR="000138FB" w:rsidRPr="002408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42DDA" w14:textId="77777777" w:rsidR="00CD3036" w:rsidRDefault="00CD3036">
      <w:pPr>
        <w:spacing w:after="0"/>
      </w:pPr>
      <w:r>
        <w:separator/>
      </w:r>
    </w:p>
  </w:endnote>
  <w:endnote w:type="continuationSeparator" w:id="0">
    <w:p w14:paraId="723244ED" w14:textId="77777777" w:rsidR="00CD3036" w:rsidRDefault="00CD3036">
      <w:pPr>
        <w:spacing w:after="0"/>
      </w:pPr>
      <w:r>
        <w:continuationSeparator/>
      </w:r>
    </w:p>
  </w:endnote>
  <w:endnote w:type="continuationNotice" w:id="1">
    <w:p w14:paraId="31F8A857" w14:textId="77777777" w:rsidR="00CD3036" w:rsidRDefault="00CD3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FC78E" w14:textId="77777777" w:rsidR="00CD3036" w:rsidRDefault="00CD3036">
      <w:pPr>
        <w:spacing w:after="0"/>
      </w:pPr>
      <w:r>
        <w:separator/>
      </w:r>
    </w:p>
  </w:footnote>
  <w:footnote w:type="continuationSeparator" w:id="0">
    <w:p w14:paraId="0B489818" w14:textId="77777777" w:rsidR="00CD3036" w:rsidRDefault="00CD3036">
      <w:pPr>
        <w:spacing w:after="0"/>
      </w:pPr>
      <w:r>
        <w:continuationSeparator/>
      </w:r>
    </w:p>
  </w:footnote>
  <w:footnote w:type="continuationNotice" w:id="1">
    <w:p w14:paraId="39201116" w14:textId="77777777" w:rsidR="00CD3036" w:rsidRDefault="00CD30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A79"/>
    <w:multiLevelType w:val="hybridMultilevel"/>
    <w:tmpl w:val="3FAE4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4C2346"/>
    <w:multiLevelType w:val="hybridMultilevel"/>
    <w:tmpl w:val="CD188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1023E"/>
    <w:multiLevelType w:val="hybridMultilevel"/>
    <w:tmpl w:val="7C38C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C6A77"/>
    <w:multiLevelType w:val="hybridMultilevel"/>
    <w:tmpl w:val="4524E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5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1"/>
  </w:num>
  <w:num w:numId="14">
    <w:abstractNumId w:val="14"/>
  </w:num>
  <w:num w:numId="15">
    <w:abstractNumId w:val="7"/>
  </w:num>
  <w:num w:numId="16">
    <w:abstractNumId w:val="15"/>
  </w:num>
  <w:num w:numId="17">
    <w:abstractNumId w:val="8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FB"/>
    <w:rsid w:val="00017F23"/>
    <w:rsid w:val="0002061C"/>
    <w:rsid w:val="00023EA4"/>
    <w:rsid w:val="00032C44"/>
    <w:rsid w:val="00053416"/>
    <w:rsid w:val="00083D4C"/>
    <w:rsid w:val="00097E6A"/>
    <w:rsid w:val="000A3A69"/>
    <w:rsid w:val="000A7BB2"/>
    <w:rsid w:val="000C372A"/>
    <w:rsid w:val="000D64DA"/>
    <w:rsid w:val="000F6242"/>
    <w:rsid w:val="0010635F"/>
    <w:rsid w:val="00125E41"/>
    <w:rsid w:val="00130FC6"/>
    <w:rsid w:val="00133BF0"/>
    <w:rsid w:val="00145F43"/>
    <w:rsid w:val="001472BD"/>
    <w:rsid w:val="00147607"/>
    <w:rsid w:val="00183108"/>
    <w:rsid w:val="00184661"/>
    <w:rsid w:val="00187445"/>
    <w:rsid w:val="001943F8"/>
    <w:rsid w:val="001C0474"/>
    <w:rsid w:val="001C6BB3"/>
    <w:rsid w:val="001E4A46"/>
    <w:rsid w:val="00222FA0"/>
    <w:rsid w:val="002256B7"/>
    <w:rsid w:val="002304BC"/>
    <w:rsid w:val="002340E4"/>
    <w:rsid w:val="00240845"/>
    <w:rsid w:val="00245706"/>
    <w:rsid w:val="00250223"/>
    <w:rsid w:val="002775A7"/>
    <w:rsid w:val="0028012E"/>
    <w:rsid w:val="00282820"/>
    <w:rsid w:val="00290FCD"/>
    <w:rsid w:val="002B52B8"/>
    <w:rsid w:val="002B761A"/>
    <w:rsid w:val="002C7ECC"/>
    <w:rsid w:val="002E7521"/>
    <w:rsid w:val="002F1940"/>
    <w:rsid w:val="00310466"/>
    <w:rsid w:val="00321CAF"/>
    <w:rsid w:val="00322F82"/>
    <w:rsid w:val="00330EDF"/>
    <w:rsid w:val="00335D84"/>
    <w:rsid w:val="00335F01"/>
    <w:rsid w:val="00345878"/>
    <w:rsid w:val="003619E1"/>
    <w:rsid w:val="0037077B"/>
    <w:rsid w:val="00371E8B"/>
    <w:rsid w:val="00383545"/>
    <w:rsid w:val="003A2453"/>
    <w:rsid w:val="003A47BC"/>
    <w:rsid w:val="003A7645"/>
    <w:rsid w:val="003C56AB"/>
    <w:rsid w:val="0040138E"/>
    <w:rsid w:val="00433500"/>
    <w:rsid w:val="00433F71"/>
    <w:rsid w:val="00440D43"/>
    <w:rsid w:val="004446B7"/>
    <w:rsid w:val="00470A62"/>
    <w:rsid w:val="004866C4"/>
    <w:rsid w:val="00495DDA"/>
    <w:rsid w:val="004976F8"/>
    <w:rsid w:val="004C77B9"/>
    <w:rsid w:val="004E23F9"/>
    <w:rsid w:val="004E3939"/>
    <w:rsid w:val="004E7927"/>
    <w:rsid w:val="004F33EE"/>
    <w:rsid w:val="00516F11"/>
    <w:rsid w:val="0053208E"/>
    <w:rsid w:val="005377E3"/>
    <w:rsid w:val="00547BEC"/>
    <w:rsid w:val="005525F7"/>
    <w:rsid w:val="005577FD"/>
    <w:rsid w:val="0056099D"/>
    <w:rsid w:val="005748D5"/>
    <w:rsid w:val="005946CD"/>
    <w:rsid w:val="00596F22"/>
    <w:rsid w:val="005B22E2"/>
    <w:rsid w:val="005C1F2D"/>
    <w:rsid w:val="005C41F7"/>
    <w:rsid w:val="005F5942"/>
    <w:rsid w:val="005F5F41"/>
    <w:rsid w:val="00601023"/>
    <w:rsid w:val="00603206"/>
    <w:rsid w:val="006115FB"/>
    <w:rsid w:val="006162E0"/>
    <w:rsid w:val="006347D2"/>
    <w:rsid w:val="0067249E"/>
    <w:rsid w:val="00683DDE"/>
    <w:rsid w:val="00687B49"/>
    <w:rsid w:val="00690824"/>
    <w:rsid w:val="00692082"/>
    <w:rsid w:val="006A1870"/>
    <w:rsid w:val="006A499A"/>
    <w:rsid w:val="006A54D5"/>
    <w:rsid w:val="006B170D"/>
    <w:rsid w:val="006D3C0A"/>
    <w:rsid w:val="006E5D7D"/>
    <w:rsid w:val="007120E6"/>
    <w:rsid w:val="00726F38"/>
    <w:rsid w:val="00734D67"/>
    <w:rsid w:val="00750BA1"/>
    <w:rsid w:val="00760D8D"/>
    <w:rsid w:val="00763CC3"/>
    <w:rsid w:val="0076645C"/>
    <w:rsid w:val="00772612"/>
    <w:rsid w:val="00775EC5"/>
    <w:rsid w:val="007850E1"/>
    <w:rsid w:val="007910A7"/>
    <w:rsid w:val="007A2D41"/>
    <w:rsid w:val="007B0F89"/>
    <w:rsid w:val="007B2FB8"/>
    <w:rsid w:val="007E07E2"/>
    <w:rsid w:val="007E144B"/>
    <w:rsid w:val="007F4F92"/>
    <w:rsid w:val="00814EDE"/>
    <w:rsid w:val="00821D70"/>
    <w:rsid w:val="0083385F"/>
    <w:rsid w:val="0084674C"/>
    <w:rsid w:val="00847911"/>
    <w:rsid w:val="0087043D"/>
    <w:rsid w:val="008830CA"/>
    <w:rsid w:val="00883C9B"/>
    <w:rsid w:val="0088433A"/>
    <w:rsid w:val="008A1851"/>
    <w:rsid w:val="008C5AC1"/>
    <w:rsid w:val="008D772F"/>
    <w:rsid w:val="00906D5E"/>
    <w:rsid w:val="00914506"/>
    <w:rsid w:val="009212BC"/>
    <w:rsid w:val="009303BD"/>
    <w:rsid w:val="00951280"/>
    <w:rsid w:val="00957F6C"/>
    <w:rsid w:val="00972DBC"/>
    <w:rsid w:val="00975356"/>
    <w:rsid w:val="009810B3"/>
    <w:rsid w:val="00990F72"/>
    <w:rsid w:val="0099764C"/>
    <w:rsid w:val="009A404F"/>
    <w:rsid w:val="009D1A1C"/>
    <w:rsid w:val="009F047D"/>
    <w:rsid w:val="009F46DF"/>
    <w:rsid w:val="009F7AEE"/>
    <w:rsid w:val="00A04D0E"/>
    <w:rsid w:val="00A0529B"/>
    <w:rsid w:val="00A138D6"/>
    <w:rsid w:val="00A15B1B"/>
    <w:rsid w:val="00A34DC0"/>
    <w:rsid w:val="00A72728"/>
    <w:rsid w:val="00A74629"/>
    <w:rsid w:val="00A8178E"/>
    <w:rsid w:val="00A91D71"/>
    <w:rsid w:val="00AA7654"/>
    <w:rsid w:val="00AC2776"/>
    <w:rsid w:val="00AC67A6"/>
    <w:rsid w:val="00AD76AA"/>
    <w:rsid w:val="00AD79A1"/>
    <w:rsid w:val="00B14789"/>
    <w:rsid w:val="00B17C86"/>
    <w:rsid w:val="00B32137"/>
    <w:rsid w:val="00B43035"/>
    <w:rsid w:val="00B51583"/>
    <w:rsid w:val="00B56B9A"/>
    <w:rsid w:val="00B66A7B"/>
    <w:rsid w:val="00B83FC7"/>
    <w:rsid w:val="00B87E60"/>
    <w:rsid w:val="00B97333"/>
    <w:rsid w:val="00B97703"/>
    <w:rsid w:val="00BA579A"/>
    <w:rsid w:val="00BB2072"/>
    <w:rsid w:val="00BD6B77"/>
    <w:rsid w:val="00BE41B1"/>
    <w:rsid w:val="00BE42A8"/>
    <w:rsid w:val="00C13A92"/>
    <w:rsid w:val="00C160B8"/>
    <w:rsid w:val="00C3294F"/>
    <w:rsid w:val="00C444B9"/>
    <w:rsid w:val="00C507A6"/>
    <w:rsid w:val="00C5303A"/>
    <w:rsid w:val="00C535B5"/>
    <w:rsid w:val="00C53AF4"/>
    <w:rsid w:val="00C60CDB"/>
    <w:rsid w:val="00CA0D7C"/>
    <w:rsid w:val="00CB09C0"/>
    <w:rsid w:val="00CB71C4"/>
    <w:rsid w:val="00CC07B6"/>
    <w:rsid w:val="00CD0013"/>
    <w:rsid w:val="00CD3036"/>
    <w:rsid w:val="00CF6087"/>
    <w:rsid w:val="00D151FA"/>
    <w:rsid w:val="00D265EB"/>
    <w:rsid w:val="00D2719F"/>
    <w:rsid w:val="00D271D6"/>
    <w:rsid w:val="00D27D6D"/>
    <w:rsid w:val="00D34F75"/>
    <w:rsid w:val="00D4385C"/>
    <w:rsid w:val="00D469CC"/>
    <w:rsid w:val="00D55F7A"/>
    <w:rsid w:val="00D6742E"/>
    <w:rsid w:val="00DA08B2"/>
    <w:rsid w:val="00DA5988"/>
    <w:rsid w:val="00DB1E50"/>
    <w:rsid w:val="00DD2015"/>
    <w:rsid w:val="00DD41CC"/>
    <w:rsid w:val="00DE26B1"/>
    <w:rsid w:val="00DE7E71"/>
    <w:rsid w:val="00DF22A4"/>
    <w:rsid w:val="00DF68AB"/>
    <w:rsid w:val="00E12FA5"/>
    <w:rsid w:val="00E27FBE"/>
    <w:rsid w:val="00E326AA"/>
    <w:rsid w:val="00E405C6"/>
    <w:rsid w:val="00E46562"/>
    <w:rsid w:val="00E6034A"/>
    <w:rsid w:val="00E608C4"/>
    <w:rsid w:val="00E72E49"/>
    <w:rsid w:val="00E80E0C"/>
    <w:rsid w:val="00E928EB"/>
    <w:rsid w:val="00EE2A47"/>
    <w:rsid w:val="00EF08DB"/>
    <w:rsid w:val="00F04F65"/>
    <w:rsid w:val="00F14ECC"/>
    <w:rsid w:val="00F17B25"/>
    <w:rsid w:val="00F35373"/>
    <w:rsid w:val="00F40395"/>
    <w:rsid w:val="00F41C10"/>
    <w:rsid w:val="00F42B43"/>
    <w:rsid w:val="00F53259"/>
    <w:rsid w:val="00F6297A"/>
    <w:rsid w:val="00F666D9"/>
    <w:rsid w:val="00F72ECA"/>
    <w:rsid w:val="00F74C53"/>
    <w:rsid w:val="00F81A7F"/>
    <w:rsid w:val="00F93BB7"/>
    <w:rsid w:val="00F94048"/>
    <w:rsid w:val="00F96B44"/>
    <w:rsid w:val="00FC44D9"/>
    <w:rsid w:val="00FF44E5"/>
    <w:rsid w:val="035BE06A"/>
    <w:rsid w:val="039AF45C"/>
    <w:rsid w:val="03DF23E6"/>
    <w:rsid w:val="046A02B2"/>
    <w:rsid w:val="07451DEC"/>
    <w:rsid w:val="0ADB419F"/>
    <w:rsid w:val="0E44EEED"/>
    <w:rsid w:val="0E54E15D"/>
    <w:rsid w:val="103479BD"/>
    <w:rsid w:val="10F6C51D"/>
    <w:rsid w:val="140A9B3A"/>
    <w:rsid w:val="141334CA"/>
    <w:rsid w:val="19968825"/>
    <w:rsid w:val="1A0BE55A"/>
    <w:rsid w:val="1AF8A6FB"/>
    <w:rsid w:val="1B373246"/>
    <w:rsid w:val="1C1FD14A"/>
    <w:rsid w:val="1EAEF8DD"/>
    <w:rsid w:val="1FD12132"/>
    <w:rsid w:val="21090F36"/>
    <w:rsid w:val="21924C26"/>
    <w:rsid w:val="21A33D61"/>
    <w:rsid w:val="21F77654"/>
    <w:rsid w:val="226C0305"/>
    <w:rsid w:val="23527322"/>
    <w:rsid w:val="244507AB"/>
    <w:rsid w:val="2477D4FD"/>
    <w:rsid w:val="25CFCB08"/>
    <w:rsid w:val="265C6244"/>
    <w:rsid w:val="2742714B"/>
    <w:rsid w:val="277F42BB"/>
    <w:rsid w:val="27F09BEC"/>
    <w:rsid w:val="29F641AF"/>
    <w:rsid w:val="2A094645"/>
    <w:rsid w:val="2A1D7A16"/>
    <w:rsid w:val="2A885264"/>
    <w:rsid w:val="2B384D58"/>
    <w:rsid w:val="2C6A470F"/>
    <w:rsid w:val="2DC202DF"/>
    <w:rsid w:val="307E1793"/>
    <w:rsid w:val="33B31E07"/>
    <w:rsid w:val="33B67AB0"/>
    <w:rsid w:val="3ABF3107"/>
    <w:rsid w:val="3AE79BFD"/>
    <w:rsid w:val="3D7F9A66"/>
    <w:rsid w:val="3D8D236C"/>
    <w:rsid w:val="3E509880"/>
    <w:rsid w:val="4115A538"/>
    <w:rsid w:val="43108F83"/>
    <w:rsid w:val="4414FCB4"/>
    <w:rsid w:val="4597A876"/>
    <w:rsid w:val="465E3B16"/>
    <w:rsid w:val="47DE1777"/>
    <w:rsid w:val="47FA0B77"/>
    <w:rsid w:val="48A93306"/>
    <w:rsid w:val="49078EC0"/>
    <w:rsid w:val="4C6D35A2"/>
    <w:rsid w:val="4D44C4C4"/>
    <w:rsid w:val="4DDAFFE3"/>
    <w:rsid w:val="4EE09525"/>
    <w:rsid w:val="4FA62AAC"/>
    <w:rsid w:val="4FB57333"/>
    <w:rsid w:val="51367B92"/>
    <w:rsid w:val="53360104"/>
    <w:rsid w:val="546B3875"/>
    <w:rsid w:val="555702E3"/>
    <w:rsid w:val="5567978D"/>
    <w:rsid w:val="56D47909"/>
    <w:rsid w:val="570128F6"/>
    <w:rsid w:val="570F37BD"/>
    <w:rsid w:val="591E4A02"/>
    <w:rsid w:val="5992F014"/>
    <w:rsid w:val="59BC38BC"/>
    <w:rsid w:val="601C1F7A"/>
    <w:rsid w:val="6244BB54"/>
    <w:rsid w:val="63772198"/>
    <w:rsid w:val="6678746E"/>
    <w:rsid w:val="684B033E"/>
    <w:rsid w:val="693AB96B"/>
    <w:rsid w:val="69633AD2"/>
    <w:rsid w:val="69AFA306"/>
    <w:rsid w:val="6BC215DF"/>
    <w:rsid w:val="6C9B9C7E"/>
    <w:rsid w:val="6CCC9557"/>
    <w:rsid w:val="6D75360A"/>
    <w:rsid w:val="6F8D17A4"/>
    <w:rsid w:val="70062E57"/>
    <w:rsid w:val="717EC7B4"/>
    <w:rsid w:val="739EE73B"/>
    <w:rsid w:val="74745439"/>
    <w:rsid w:val="75F23A74"/>
    <w:rsid w:val="76759F70"/>
    <w:rsid w:val="79597A20"/>
    <w:rsid w:val="7AFA69ED"/>
    <w:rsid w:val="7B5CE2D5"/>
    <w:rsid w:val="7E202D42"/>
    <w:rsid w:val="7FCDB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35A1C42"/>
  <w15:chartTrackingRefBased/>
  <w15:docId w15:val="{13ABC5F7-25EF-499E-8862-7179A312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semiHidden/>
    <w:locked/>
    <w:rsid w:val="00F04F65"/>
    <w:rPr>
      <w:rFonts w:eastAsia="SimSun" w:cstheme="minorBidi"/>
      <w:b/>
      <w:sz w:val="22"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semiHidden/>
    <w:unhideWhenUsed/>
    <w:qFormat/>
    <w:rsid w:val="00F04F65"/>
    <w:pPr>
      <w:overflowPunct/>
      <w:autoSpaceDE/>
      <w:autoSpaceDN/>
      <w:adjustRightInd/>
      <w:spacing w:before="120" w:after="120" w:line="256" w:lineRule="auto"/>
      <w:textAlignment w:val="auto"/>
    </w:pPr>
    <w:rPr>
      <w:rFonts w:eastAsia="SimSun" w:cstheme="minorBidi"/>
      <w:b/>
      <w:sz w:val="22"/>
      <w:lang w:val="x-none" w:eastAsia="x-none"/>
    </w:rPr>
  </w:style>
  <w:style w:type="character" w:customStyle="1" w:styleId="normaltextrun">
    <w:name w:val="normaltextrun"/>
    <w:basedOn w:val="DefaultParagraphFont"/>
    <w:rsid w:val="00C13A92"/>
  </w:style>
  <w:style w:type="table" w:styleId="TableGrid">
    <w:name w:val="Table Grid"/>
    <w:basedOn w:val="TableNormal"/>
    <w:uiPriority w:val="59"/>
    <w:rsid w:val="00FC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A47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B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B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BA1"/>
    <w:rPr>
      <w:rFonts w:ascii="Arial" w:hAnsi="Arial"/>
      <w:b/>
      <w:bCs/>
    </w:rPr>
  </w:style>
  <w:style w:type="character" w:customStyle="1" w:styleId="TANChar">
    <w:name w:val="TAN Char"/>
    <w:link w:val="TAN"/>
    <w:qFormat/>
    <w:locked/>
    <w:rsid w:val="005946C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5AIRPNAIUNRU-1328258698-7388</_dlc_DocId>
    <_dlc_DocIdUrl xmlns="71c5aaf6-e6ce-465b-b873-5148d2a4c105">
      <Url>https://nokia.sharepoint.com/sites/c5g/5gradio/_layouts/15/DocIdRedir.aspx?ID=5AIRPNAIUNRU-1328258698-7388</Url>
      <Description>5AIRPNAIUNRU-1328258698-7388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ECD6A-FD16-41A8-BE14-42D97AB30E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671</Words>
  <Characters>3829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Tiirola, Esa (Nokia - FI/Oulu)</cp:lastModifiedBy>
  <cp:revision>2</cp:revision>
  <cp:lastPrinted>2002-04-23T07:10:00Z</cp:lastPrinted>
  <dcterms:created xsi:type="dcterms:W3CDTF">2021-10-21T06:39:00Z</dcterms:created>
  <dcterms:modified xsi:type="dcterms:W3CDTF">2021-10-21T06:39:00Z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efb011ce-c59a-48e5-a502-6f222b2237b7</vt:lpwstr>
  </property>
</Properties>
</file>